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172" w:rsidRPr="004A5052" w:rsidRDefault="00040172" w:rsidP="00040172">
      <w:pPr>
        <w:pStyle w:val="Specyfikacja"/>
        <w:spacing w:before="240"/>
        <w:ind w:left="2834" w:firstLine="706"/>
        <w:rPr>
          <w:rFonts w:ascii="Verdana" w:hAnsi="Verdana"/>
          <w:b/>
          <w:bCs/>
          <w:sz w:val="20"/>
        </w:rPr>
      </w:pPr>
      <w:r w:rsidRPr="004A5052">
        <w:rPr>
          <w:rFonts w:ascii="Verdana" w:hAnsi="Verdana"/>
          <w:b/>
          <w:bCs/>
          <w:sz w:val="20"/>
        </w:rPr>
        <w:t>PODBUDOWA Z CHUDEGO BETONU</w:t>
      </w:r>
    </w:p>
    <w:p w:rsidR="00040172" w:rsidRPr="004A5052" w:rsidRDefault="00040172" w:rsidP="00040172">
      <w:pPr>
        <w:shd w:val="clear" w:color="auto" w:fill="FFFFFF"/>
        <w:tabs>
          <w:tab w:val="left" w:pos="960"/>
        </w:tabs>
        <w:rPr>
          <w:rFonts w:ascii="Verdana" w:hAnsi="Verdana"/>
          <w:i w:val="0"/>
          <w:sz w:val="20"/>
          <w:szCs w:val="20"/>
        </w:rPr>
      </w:pPr>
      <w:r w:rsidRPr="004A5052">
        <w:rPr>
          <w:rFonts w:ascii="Verdana" w:hAnsi="Verdana"/>
          <w:b/>
          <w:bCs/>
          <w:i w:val="0"/>
          <w:color w:val="000000"/>
          <w:spacing w:val="-13"/>
          <w:sz w:val="20"/>
          <w:szCs w:val="20"/>
        </w:rPr>
        <w:t xml:space="preserve">1. </w:t>
      </w:r>
      <w:r w:rsidRPr="004A5052">
        <w:rPr>
          <w:rFonts w:ascii="Verdana" w:hAnsi="Verdana"/>
          <w:b/>
          <w:bCs/>
          <w:i w:val="0"/>
          <w:color w:val="000000"/>
          <w:spacing w:val="-1"/>
          <w:sz w:val="20"/>
          <w:szCs w:val="20"/>
        </w:rPr>
        <w:t>Wstęp</w:t>
      </w:r>
    </w:p>
    <w:p w:rsidR="00040172" w:rsidRPr="004A5052" w:rsidRDefault="00040172" w:rsidP="00040172">
      <w:pPr>
        <w:shd w:val="clear" w:color="auto" w:fill="FFFFFF"/>
        <w:tabs>
          <w:tab w:val="left" w:pos="1090"/>
        </w:tabs>
        <w:rPr>
          <w:rFonts w:ascii="Verdana" w:hAnsi="Verdana"/>
          <w:i w:val="0"/>
          <w:sz w:val="20"/>
          <w:szCs w:val="20"/>
        </w:rPr>
      </w:pPr>
      <w:r w:rsidRPr="004A5052">
        <w:rPr>
          <w:rFonts w:ascii="Verdana" w:hAnsi="Verdana"/>
          <w:b/>
          <w:bCs/>
          <w:i w:val="0"/>
          <w:color w:val="000000"/>
          <w:spacing w:val="-10"/>
          <w:sz w:val="20"/>
          <w:szCs w:val="20"/>
        </w:rPr>
        <w:t xml:space="preserve">1.1. </w:t>
      </w:r>
      <w:r w:rsidRPr="004A5052">
        <w:rPr>
          <w:rFonts w:ascii="Verdana" w:hAnsi="Verdana"/>
          <w:b/>
          <w:bCs/>
          <w:i w:val="0"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:rsidR="00040172" w:rsidRPr="004A5052" w:rsidRDefault="00040172" w:rsidP="00164628">
      <w:pPr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000000"/>
          <w:sz w:val="20"/>
          <w:szCs w:val="20"/>
        </w:rPr>
        <w:t xml:space="preserve">Przedmiotem niniejszej </w:t>
      </w:r>
      <w:proofErr w:type="spellStart"/>
      <w:r w:rsidRPr="004A5052">
        <w:rPr>
          <w:rFonts w:ascii="Verdana" w:hAnsi="Verdana"/>
          <w:i w:val="0"/>
          <w:color w:val="000000"/>
          <w:sz w:val="20"/>
          <w:szCs w:val="20"/>
        </w:rPr>
        <w:t>STWiORB</w:t>
      </w:r>
      <w:proofErr w:type="spellEnd"/>
      <w:r w:rsidRPr="004A5052">
        <w:rPr>
          <w:rFonts w:ascii="Verdana" w:hAnsi="Verdana"/>
          <w:i w:val="0"/>
          <w:color w:val="000000"/>
          <w:sz w:val="20"/>
          <w:szCs w:val="20"/>
        </w:rPr>
        <w:t xml:space="preserve"> są wymagania</w:t>
      </w: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 dotyczące wykonania i odbioru podbudowy z chudego betonu, w ramach zadania:</w:t>
      </w:r>
      <w:r w:rsidR="00141105"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 </w:t>
      </w:r>
      <w:r w:rsidR="004A5052" w:rsidRPr="004A5052">
        <w:rPr>
          <w:rFonts w:ascii="Verdana" w:hAnsi="Verdana"/>
          <w:b/>
          <w:color w:val="auto"/>
          <w:sz w:val="20"/>
          <w:szCs w:val="20"/>
        </w:rPr>
        <w:t>Remonty cząstkowe dróg, placów i chodników, odnowienie i uzupełnienie oznakowania oraz czyszczenie studni chłonnych w 202</w:t>
      </w:r>
      <w:r w:rsidR="00AF658B">
        <w:rPr>
          <w:rFonts w:ascii="Verdana" w:hAnsi="Verdana"/>
          <w:b/>
          <w:color w:val="auto"/>
          <w:sz w:val="20"/>
          <w:szCs w:val="20"/>
        </w:rPr>
        <w:t>4</w:t>
      </w:r>
      <w:bookmarkStart w:id="0" w:name="_GoBack"/>
      <w:bookmarkEnd w:id="0"/>
      <w:r w:rsidR="004A5052" w:rsidRPr="004A5052">
        <w:rPr>
          <w:rFonts w:ascii="Verdana" w:hAnsi="Verdana"/>
          <w:b/>
          <w:color w:val="auto"/>
          <w:sz w:val="20"/>
          <w:szCs w:val="20"/>
        </w:rPr>
        <w:t xml:space="preserve"> roku </w:t>
      </w: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dotycz</w:t>
      </w:r>
      <w:r w:rsidR="00164628" w:rsidRPr="004A5052">
        <w:rPr>
          <w:rFonts w:ascii="Verdana" w:hAnsi="Verdana"/>
          <w:i w:val="0"/>
          <w:iCs w:val="0"/>
          <w:color w:val="auto"/>
          <w:sz w:val="20"/>
          <w:szCs w:val="20"/>
        </w:rPr>
        <w:t>ących</w:t>
      </w: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 zasad wykonanie podbudowy z chudego betonu.</w:t>
      </w:r>
    </w:p>
    <w:p w:rsidR="00040172" w:rsidRPr="004A5052" w:rsidRDefault="00040172" w:rsidP="00040172">
      <w:pPr>
        <w:pStyle w:val="StylNagwek2Arial10ptPogrubieniePrzed0ptPo0"/>
        <w:numPr>
          <w:ilvl w:val="0"/>
          <w:numId w:val="0"/>
        </w:numPr>
        <w:rPr>
          <w:rFonts w:ascii="Verdana" w:hAnsi="Verdana"/>
        </w:rPr>
      </w:pPr>
      <w:r w:rsidRPr="004A5052">
        <w:rPr>
          <w:rFonts w:ascii="Verdana" w:hAnsi="Verdana"/>
        </w:rPr>
        <w:t>1.2 Określenia podstawowe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Podbudowa z chudego betonu</w:t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- jedna lub dwie warstwy zagęszczonej mieszanki betonowej stanowi fragment nośnej części nawierzchni drogowej.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Chudy beton</w:t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- materiał budowlany powstały przez wymieszanie mieszanki kruszyw z cementem w ilości od 5% do 7% w stosunku do kruszywa lecz nie przekraczającej 130 kg/m</w:t>
      </w:r>
      <w:r w:rsidRPr="004A5052">
        <w:rPr>
          <w:rFonts w:ascii="Verdana" w:hAnsi="Verdana"/>
          <w:i w:val="0"/>
          <w:color w:val="auto"/>
          <w:sz w:val="20"/>
          <w:szCs w:val="20"/>
          <w:vertAlign w:val="superscript"/>
        </w:rPr>
        <w:t>3</w:t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oraz optymalną ilością wody, który po zakończeniu procesu wiązania osiąga wytrzymałość na ściskanie  w granicach od 6 do 9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MPa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pStyle w:val="StylNagwek1Arial10ptPrzed0ptPo0ptInterlini"/>
        <w:numPr>
          <w:ilvl w:val="0"/>
          <w:numId w:val="0"/>
        </w:numPr>
        <w:rPr>
          <w:rFonts w:ascii="Verdana" w:hAnsi="Verdana"/>
          <w:caps w:val="0"/>
        </w:rPr>
      </w:pPr>
      <w:r w:rsidRPr="004A5052">
        <w:rPr>
          <w:rFonts w:ascii="Verdana" w:hAnsi="Verdana"/>
          <w:caps w:val="0"/>
        </w:rPr>
        <w:t>2. Materiały</w:t>
      </w:r>
    </w:p>
    <w:p w:rsidR="00040172" w:rsidRPr="004A5052" w:rsidRDefault="00040172" w:rsidP="00040172">
      <w:pPr>
        <w:pStyle w:val="StylNagwek1Arial10ptPrzed0ptPo0ptInterlini"/>
        <w:numPr>
          <w:ilvl w:val="0"/>
          <w:numId w:val="0"/>
        </w:numPr>
        <w:rPr>
          <w:rFonts w:ascii="Verdana" w:hAnsi="Verdana"/>
          <w:caps w:val="0"/>
        </w:rPr>
      </w:pPr>
      <w:r w:rsidRPr="004A5052">
        <w:rPr>
          <w:rFonts w:ascii="Verdana" w:hAnsi="Verdana"/>
          <w:caps w:val="0"/>
        </w:rPr>
        <w:t>2.1</w:t>
      </w:r>
      <w:r w:rsidRPr="004A5052">
        <w:rPr>
          <w:rFonts w:ascii="Verdana" w:hAnsi="Verdana"/>
        </w:rPr>
        <w:t xml:space="preserve"> </w:t>
      </w:r>
      <w:r w:rsidRPr="004A5052">
        <w:rPr>
          <w:rFonts w:ascii="Verdana" w:hAnsi="Verdana"/>
          <w:caps w:val="0"/>
        </w:rPr>
        <w:t>Cement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Należy stosować cementy powszechnego użytku: portlandzki CEM I klasy 32,5 N, cement portlandzki wieloskładnikowy CEM II klasy 32,5 N, cement hutniczy CEM III klasy 32,5 N, cement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pucolanowy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CEM IV klasy 32,5 N według PN-EN 197-1:2002 .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Wymagania dla cementu: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- Wytrzymałość na ściskanie (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MPa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>), po 7 dniach, nie mniej niż 16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-Wytrzymałość na ściskanie (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MPa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>), po 28 dniach, nie mniej niż: 32,5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Przechowywanie cementu powinno się odbywać zgodnie z BN-88/6731-08.</w:t>
      </w:r>
    </w:p>
    <w:p w:rsidR="00040172" w:rsidRPr="004A5052" w:rsidRDefault="00040172" w:rsidP="00040172">
      <w:pPr>
        <w:pStyle w:val="Nagwek2"/>
        <w:numPr>
          <w:ilvl w:val="1"/>
          <w:numId w:val="3"/>
        </w:numPr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Kruszywo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Do wykonania mieszanki chudego betonu należy stosować: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żwir i mieszankę wg PN-B-11111:1996,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piasek wg PN-B-11113:1996,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kruszywo łamane wg PN-B-11112:1996 i WT/MK-CZDP84,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kruszywo żużlowe z żużla wielkopiecowego kawałkowego wg PN-B-23004: 1988,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kruszywo z recyklingu betonu o ziarnach większych niż </w:t>
      </w:r>
      <w:smartTag w:uri="urn:schemas-microsoft-com:office:smarttags" w:element="metricconverter">
        <w:smartTagPr>
          <w:attr w:name="ProductID" w:val="4 mm"/>
        </w:smartTagPr>
        <w:r w:rsidRPr="004A5052">
          <w:rPr>
            <w:rFonts w:ascii="Verdana" w:hAnsi="Verdana"/>
            <w:i w:val="0"/>
            <w:color w:val="auto"/>
            <w:sz w:val="20"/>
            <w:szCs w:val="20"/>
          </w:rPr>
          <w:t>4 mm</w:t>
        </w:r>
      </w:smartTag>
      <w:r w:rsidRPr="004A5052">
        <w:rPr>
          <w:rFonts w:ascii="Verdana" w:hAnsi="Verdana"/>
          <w:i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pStyle w:val="Akapitzlist"/>
        <w:numPr>
          <w:ilvl w:val="1"/>
          <w:numId w:val="3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Woda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Do wytwarzania mieszanki betonowej jak i do pielęgnacji wykonanej podbudowy należy stosować wodę odpowiadającą wymaganiom normy PN-EN 1008. </w:t>
      </w:r>
    </w:p>
    <w:p w:rsidR="00040172" w:rsidRPr="004A5052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2.4. Materiały do pielęgnacji podbudowy z chudego betonu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Do pielęgnacji podbudowy z chudego betonu mogą być stosowane: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piasek i woda</w:t>
      </w: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3. Sprzęt do wykonywania podbudowy z chudego betonu</w:t>
      </w:r>
    </w:p>
    <w:p w:rsidR="00040172" w:rsidRPr="004A5052" w:rsidRDefault="00040172" w:rsidP="00040172">
      <w:p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Do wykonania podbudowy z chudego betonu, powinno używać się następującego sprzętu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wytwórni stacjonarnej lub mobilnej do wytwarzania chudej mieszanki betonowej. Wytwórnia powinna być wyposażona w urządzenia do wagowego dozowania wszystkich składników, przewoźnych zbiorników na wodę,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układarek albo równiarek  do rozkładania chudej mieszanki betonowej,</w:t>
      </w:r>
    </w:p>
    <w:p w:rsidR="00040172" w:rsidRPr="004A5052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walców wibracyjnych lub statycznych do zagęszczania lub płyty wibracyjne, zagęszczarek płytowych, ubijaków mechanicznych lub małych walców wibracyjnych,</w:t>
      </w: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pStyle w:val="StylNagwek2Arial10ptPogrubieniePrzed0ptPo0"/>
        <w:numPr>
          <w:ilvl w:val="0"/>
          <w:numId w:val="0"/>
        </w:numPr>
        <w:ind w:left="851" w:hanging="567"/>
        <w:rPr>
          <w:rFonts w:ascii="Verdana" w:hAnsi="Verdana"/>
        </w:rPr>
      </w:pPr>
      <w:r w:rsidRPr="004A5052">
        <w:rPr>
          <w:rFonts w:ascii="Verdana" w:hAnsi="Verdana"/>
        </w:rPr>
        <w:t>4.Transport materiałów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Cement luzem należy przewozić cementowozami, natomiast cement workowany można przewozić dowolnymi środkami transportu, w sposób zabezpieczony przed zawilgoceniem.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Kruszywo można przewozić dowolnymi środkami transportu w warunkach zabezpieczających je przed zanieczyszczeniem, zmieszaniem z innymi materiałami i zawilgoceniem.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Woda może być dostarczana wodociągiem lub przewoźnymi zbiornikami wody,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Transport mieszanki chudego betonu powinien odbywać się zgodnie z PN-S-96013:1997</w:t>
      </w: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shd w:val="clear" w:color="auto" w:fill="FFFFFF"/>
        <w:tabs>
          <w:tab w:val="left" w:pos="960"/>
        </w:tabs>
        <w:ind w:left="284" w:hanging="284"/>
        <w:rPr>
          <w:rFonts w:ascii="Verdana" w:hAnsi="Verdana"/>
          <w:b/>
          <w:bCs/>
          <w:i w:val="0"/>
          <w:color w:val="000000"/>
          <w:sz w:val="20"/>
          <w:szCs w:val="20"/>
        </w:rPr>
      </w:pPr>
      <w:r w:rsidRPr="004A5052">
        <w:rPr>
          <w:rFonts w:ascii="Verdana" w:hAnsi="Verdana"/>
          <w:b/>
          <w:bCs/>
          <w:i w:val="0"/>
          <w:color w:val="000000"/>
          <w:spacing w:val="-9"/>
          <w:sz w:val="20"/>
          <w:szCs w:val="20"/>
        </w:rPr>
        <w:t>5.</w:t>
      </w:r>
      <w:r w:rsidRPr="004A5052">
        <w:rPr>
          <w:rFonts w:ascii="Verdana" w:hAnsi="Verdana"/>
          <w:b/>
          <w:bCs/>
          <w:i w:val="0"/>
          <w:color w:val="000000"/>
          <w:sz w:val="20"/>
          <w:szCs w:val="20"/>
        </w:rPr>
        <w:tab/>
        <w:t>Wykonanie Robót</w:t>
      </w:r>
    </w:p>
    <w:p w:rsidR="00040172" w:rsidRPr="004A5052" w:rsidRDefault="00040172" w:rsidP="00040172">
      <w:pPr>
        <w:shd w:val="clear" w:color="auto" w:fill="FFFFFF"/>
        <w:tabs>
          <w:tab w:val="left" w:pos="960"/>
        </w:tabs>
        <w:ind w:left="284" w:hanging="284"/>
        <w:rPr>
          <w:rFonts w:ascii="Verdana" w:hAnsi="Verdana"/>
          <w:i w:val="0"/>
          <w:sz w:val="20"/>
          <w:szCs w:val="20"/>
        </w:rPr>
      </w:pPr>
      <w:r w:rsidRPr="004A5052">
        <w:rPr>
          <w:rFonts w:ascii="Verdana" w:hAnsi="Verdana"/>
          <w:b/>
          <w:bCs/>
          <w:i w:val="0"/>
          <w:color w:val="000000"/>
          <w:sz w:val="20"/>
          <w:szCs w:val="20"/>
        </w:rPr>
        <w:lastRenderedPageBreak/>
        <w:t>5.1. Zaprojektowanie mieszanki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Zaprojektowanie mieszanki chudego betonu polega na doborze kruszywa, ilości cementu oraz wody.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Krzywa uziarnienia mieszanki mineralnej powinna mieścić się w polu dobrego uziarnienia wyznaczonego przez krzywe graniczne wg PN-S-96013: 1997.</w:t>
      </w:r>
      <w:r w:rsidRPr="004A5052">
        <w:rPr>
          <w:rFonts w:ascii="Verdana" w:hAnsi="Verdana"/>
          <w:i w:val="0"/>
          <w:color w:val="auto"/>
          <w:sz w:val="20"/>
          <w:szCs w:val="20"/>
        </w:rPr>
        <w:tab/>
        <w:t>Uziarnienie kruszywa powinno być tak dobrane, aby mieszanka betonowa wykazywała maksymalną szczelność i urabialność przy minimalnym zużyciu cementu i wody.</w:t>
      </w:r>
    </w:p>
    <w:p w:rsidR="00040172" w:rsidRPr="004A5052" w:rsidRDefault="00040172" w:rsidP="00040172">
      <w:pPr>
        <w:numPr>
          <w:ilvl w:val="12"/>
          <w:numId w:val="0"/>
        </w:numPr>
        <w:spacing w:before="120" w:after="120"/>
        <w:jc w:val="center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Tablica .Rzędne krzywych granicznych uziarnienia mieszanki mineralnej.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727"/>
        <w:gridCol w:w="2727"/>
      </w:tblGrid>
      <w:tr w:rsidR="00040172" w:rsidRPr="004A5052" w:rsidTr="00951F6E">
        <w:trPr>
          <w:jc w:val="center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Sito o boku oczka kwadratowego (mm)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Przechodzi przez sito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(%)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Przechodzi przez sito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(%)</w:t>
            </w:r>
          </w:p>
        </w:tc>
      </w:tr>
      <w:tr w:rsidR="00040172" w:rsidRPr="004A5052" w:rsidTr="00951F6E">
        <w:trPr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63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31,5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16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8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4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2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1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0,5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0,25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0,125</w:t>
            </w:r>
          </w:p>
        </w:tc>
        <w:tc>
          <w:tcPr>
            <w:tcW w:w="2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-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100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60 do 80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40 do 65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25 do 55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20 do 45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15 do 35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7 do 20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2 do 12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0 do 5</w:t>
            </w:r>
          </w:p>
        </w:tc>
        <w:tc>
          <w:tcPr>
            <w:tcW w:w="2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0172" w:rsidRPr="004A5052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100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60 do 85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40 do 67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30 do 55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25 do 45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20 do 40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15 do 35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8 do 20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4 do 13</w:t>
            </w:r>
          </w:p>
          <w:p w:rsidR="00040172" w:rsidRPr="004A5052" w:rsidRDefault="00040172" w:rsidP="00951F6E">
            <w:pPr>
              <w:numPr>
                <w:ilvl w:val="12"/>
                <w:numId w:val="0"/>
              </w:numPr>
              <w:spacing w:after="60"/>
              <w:jc w:val="center"/>
              <w:rPr>
                <w:rFonts w:ascii="Verdana" w:hAnsi="Verdana"/>
                <w:i w:val="0"/>
                <w:color w:val="auto"/>
                <w:sz w:val="20"/>
                <w:szCs w:val="20"/>
              </w:rPr>
            </w:pPr>
            <w:r w:rsidRPr="004A5052">
              <w:rPr>
                <w:rFonts w:ascii="Verdana" w:hAnsi="Verdana"/>
                <w:i w:val="0"/>
                <w:color w:val="auto"/>
                <w:sz w:val="20"/>
                <w:szCs w:val="20"/>
              </w:rPr>
              <w:t>od 0 do 5</w:t>
            </w:r>
          </w:p>
        </w:tc>
      </w:tr>
    </w:tbl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Zawartość cementu powinna wynosić od 5 do 7% w stosunku do kruszywa i nie powinna przekraczać 130 kg/m</w:t>
      </w:r>
      <w:r w:rsidRPr="004A5052">
        <w:rPr>
          <w:rFonts w:ascii="Verdana" w:hAnsi="Verdana"/>
          <w:i w:val="0"/>
          <w:color w:val="auto"/>
          <w:sz w:val="20"/>
          <w:szCs w:val="20"/>
          <w:vertAlign w:val="superscript"/>
        </w:rPr>
        <w:t>3</w:t>
      </w:r>
      <w:r w:rsidRPr="004A5052">
        <w:rPr>
          <w:rFonts w:ascii="Verdana" w:hAnsi="Verdana"/>
          <w:i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Zawartość wody powinna odpowiadać wilgotności optymalnej, określonej według normalnej próby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Proctora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>, zgodnie z PN-B-04481: 1988 (duży cylinder, metoda II).</w:t>
      </w:r>
    </w:p>
    <w:p w:rsidR="00040172" w:rsidRPr="004A5052" w:rsidRDefault="00040172" w:rsidP="00040172">
      <w:pPr>
        <w:pStyle w:val="Nagwek2"/>
        <w:numPr>
          <w:ilvl w:val="1"/>
          <w:numId w:val="4"/>
        </w:numPr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Wymagania dla  chudego betonu.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Wytrzymałość na ściskanie po 7 dniach, od 3,5 do 5,5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MPa</w:t>
      </w:r>
      <w:proofErr w:type="spellEnd"/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Wytrzymałość na ściskanie po 28 dniach, od 6,0 do 9,0MPa</w:t>
      </w:r>
      <w:r w:rsidRPr="004A5052">
        <w:rPr>
          <w:rFonts w:ascii="Verdana" w:hAnsi="Verdana"/>
          <w:i w:val="0"/>
          <w:color w:val="auto"/>
          <w:sz w:val="20"/>
          <w:szCs w:val="20"/>
        </w:rPr>
        <w:tab/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Nasiąkliwość, , nie więcej niż 9%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Mrozoodporność, zmniejszenie wytrzymałości do20 %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5.3. Przystąpienie do robót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Do wykonywania robót można przystąpić gdy podłoże nie jest zamarznięta, a temperatura powietrza jest niższa niż 25</w:t>
      </w:r>
      <w:r w:rsidRPr="004A5052">
        <w:rPr>
          <w:rFonts w:ascii="Verdana" w:hAnsi="Verdana"/>
          <w:i w:val="0"/>
          <w:color w:val="auto"/>
          <w:sz w:val="20"/>
          <w:szCs w:val="20"/>
          <w:vertAlign w:val="superscript"/>
        </w:rPr>
        <w:t>o</w:t>
      </w:r>
      <w:r w:rsidRPr="004A5052">
        <w:rPr>
          <w:rFonts w:ascii="Verdana" w:hAnsi="Verdana"/>
          <w:i w:val="0"/>
          <w:color w:val="auto"/>
          <w:sz w:val="20"/>
          <w:szCs w:val="20"/>
        </w:rPr>
        <w:t>C i wyższa niż 25</w:t>
      </w:r>
      <w:r w:rsidRPr="004A5052">
        <w:rPr>
          <w:rFonts w:ascii="Verdana" w:hAnsi="Verdana"/>
          <w:i w:val="0"/>
          <w:color w:val="auto"/>
          <w:sz w:val="20"/>
          <w:szCs w:val="20"/>
          <w:vertAlign w:val="superscript"/>
        </w:rPr>
        <w:t>0</w:t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C. </w:t>
      </w:r>
    </w:p>
    <w:p w:rsidR="00040172" w:rsidRPr="004A5052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5.4. Wytwarzanie mieszanki betonowej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Mieszankę chudego betonu należy wytwarzać w mieszarkach otrzymanie jednorodnej mieszanki.</w:t>
      </w:r>
    </w:p>
    <w:p w:rsidR="00040172" w:rsidRPr="004A5052" w:rsidRDefault="00040172" w:rsidP="00040172">
      <w:pPr>
        <w:pStyle w:val="Nagwek2"/>
        <w:numPr>
          <w:ilvl w:val="0"/>
          <w:numId w:val="0"/>
        </w:numPr>
        <w:tabs>
          <w:tab w:val="left" w:pos="708"/>
        </w:tabs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5.5. Pielęgnacja podbudowy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Pielęgnację podbudowy wykonuje się poprzez przykrycie jej warstwą piasku oraz utrzymanie w stanie wilgotnym. Pielęgnację rozpoczyna się po zagęszczeniu podbudowy i prowadzi przez okres  7 do 10 dni</w:t>
      </w:r>
    </w:p>
    <w:p w:rsidR="00040172" w:rsidRPr="004A5052" w:rsidRDefault="00040172" w:rsidP="00040172">
      <w:pPr>
        <w:pStyle w:val="StylNagwek1Arial10ptPrzed0ptPo0ptInterlini"/>
        <w:numPr>
          <w:ilvl w:val="0"/>
          <w:numId w:val="4"/>
        </w:numPr>
        <w:rPr>
          <w:rFonts w:ascii="Verdana" w:hAnsi="Verdana"/>
          <w:caps w:val="0"/>
        </w:rPr>
      </w:pPr>
      <w:r w:rsidRPr="004A5052">
        <w:rPr>
          <w:rFonts w:ascii="Verdana" w:hAnsi="Verdana"/>
          <w:caps w:val="0"/>
        </w:rPr>
        <w:t>Kontrola jakości robót</w:t>
      </w:r>
    </w:p>
    <w:p w:rsidR="00040172" w:rsidRPr="004A5052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rFonts w:ascii="Verdana" w:hAnsi="Verdana"/>
          <w:b/>
          <w:sz w:val="20"/>
        </w:rPr>
      </w:pPr>
      <w:r w:rsidRPr="004A5052">
        <w:rPr>
          <w:rFonts w:ascii="Verdana" w:hAnsi="Verdana"/>
          <w:b/>
          <w:sz w:val="20"/>
        </w:rPr>
        <w:t>6.1. Badania przed przystąpieniem do robót</w:t>
      </w:r>
    </w:p>
    <w:p w:rsidR="00040172" w:rsidRPr="004A5052" w:rsidRDefault="00040172" w:rsidP="00040172">
      <w:p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Przed przystąpieniem do robót Wykonawca powinien wykonać badania cementu,  kruszywa 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6.2. Uziarnienie mieszanki mineralnej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Badanie należy wykonać zgodnie z normą PN-B-06714-15:1991.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Krzywa uziarnienia mieszanki mineralnej powinna być zgodna z receptą.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 xml:space="preserve">6.3. Wilgotność mieszanki 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Wilgotność mieszanki chudego betonu powinna być równa wilgotności optymalnej, z tolerancją + 10%, - 20% jej wartości.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 xml:space="preserve">6.4. Zagęszczenie podbudowy 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Mieszanka chudego betonu powinna być zagęszczana do osiągnięcia wskaźnika zagęszczenia min. 0,98 maksymalnego zagęszczenia laboratoryjnego oznaczonego zgodnie z normalną próbą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Proctora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(metoda II), 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lastRenderedPageBreak/>
        <w:t>6.5. Grubość podbudowy z chudego betonu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Grubość podbudowy powinna być zgodna z wymaganą z tolerancją  </w:t>
      </w:r>
      <w:r w:rsidRPr="004A5052">
        <w:rPr>
          <w:rFonts w:ascii="Verdana" w:hAnsi="Verdana"/>
          <w:i w:val="0"/>
          <w:color w:val="auto"/>
          <w:sz w:val="20"/>
          <w:szCs w:val="20"/>
        </w:rPr>
        <w:sym w:font="Symbol" w:char="00B1"/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4A5052">
          <w:rPr>
            <w:rFonts w:ascii="Verdana" w:hAnsi="Verdana"/>
            <w:i w:val="0"/>
            <w:color w:val="auto"/>
            <w:sz w:val="20"/>
            <w:szCs w:val="20"/>
          </w:rPr>
          <w:t>1 cm</w:t>
        </w:r>
      </w:smartTag>
      <w:r w:rsidRPr="004A5052">
        <w:rPr>
          <w:rFonts w:ascii="Verdana" w:hAnsi="Verdana"/>
          <w:i w:val="0"/>
          <w:color w:val="auto"/>
          <w:sz w:val="20"/>
          <w:szCs w:val="20"/>
        </w:rPr>
        <w:t>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 xml:space="preserve">6.6. Wytrzymałość na ściskanie 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Wytrzymałość na ściskanie określa się na próbkach walcowych. Próbki do badań należy pobierać z miejsc wybranych losowo, w świeżo rozłożonej warstwie. Wyniki wytrzymałości na ściskanie powinny być zgodne z wymaganiami podanymi w punkcie 5.2.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6.7. Nasiąkliwość i mrozoodporność chudego betonu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Nasiąkliwość i mrozoodporność określa się po 28 dniach dojrzewania betonu. Wyniki badań powinny być zgodne z wymaganiami podanymi w  punkcie 5.2.</w:t>
      </w:r>
    </w:p>
    <w:p w:rsidR="00040172" w:rsidRPr="004A5052" w:rsidRDefault="00040172" w:rsidP="00040172">
      <w:pPr>
        <w:keepNext/>
        <w:ind w:right="-11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6.8. Szerokość podbudowy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Szerokość podbudowy powinna być zgodna z wymaganiami z tolerancją +</w:t>
      </w:r>
      <w:smartTag w:uri="urn:schemas-microsoft-com:office:smarttags" w:element="metricconverter">
        <w:smartTagPr>
          <w:attr w:name="ProductID" w:val="10 cm"/>
        </w:smartTagPr>
        <w:r w:rsidRPr="004A5052">
          <w:rPr>
            <w:rFonts w:ascii="Verdana" w:hAnsi="Verdana"/>
            <w:i w:val="0"/>
            <w:color w:val="auto"/>
            <w:sz w:val="20"/>
            <w:szCs w:val="20"/>
          </w:rPr>
          <w:t>10 cm</w:t>
        </w:r>
      </w:smartTag>
      <w:r w:rsidRPr="004A5052">
        <w:rPr>
          <w:rFonts w:ascii="Verdana" w:hAnsi="Verdana"/>
          <w:i w:val="0"/>
          <w:color w:val="auto"/>
          <w:sz w:val="20"/>
          <w:szCs w:val="20"/>
        </w:rPr>
        <w:t>,.</w:t>
      </w:r>
    </w:p>
    <w:p w:rsidR="00040172" w:rsidRPr="004A5052" w:rsidRDefault="00040172" w:rsidP="00040172">
      <w:pPr>
        <w:numPr>
          <w:ilvl w:val="12"/>
          <w:numId w:val="0"/>
        </w:numPr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6</w:t>
      </w:r>
      <w:r w:rsidRPr="004A5052">
        <w:rPr>
          <w:rFonts w:ascii="Verdana" w:hAnsi="Verdana"/>
          <w:b/>
          <w:i w:val="0"/>
          <w:color w:val="auto"/>
          <w:sz w:val="20"/>
          <w:szCs w:val="20"/>
        </w:rPr>
        <w:t>.9. Równość podbudowy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Nierówności podłużne podbudowy należy mierzyć 4-metrową łatą lub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planografem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>,</w:t>
      </w:r>
      <w:r w:rsidRPr="004A5052">
        <w:rPr>
          <w:rFonts w:ascii="Verdana" w:hAnsi="Verdana"/>
          <w:i w:val="0"/>
          <w:color w:val="auto"/>
          <w:sz w:val="20"/>
          <w:szCs w:val="20"/>
        </w:rPr>
        <w:tab/>
      </w:r>
      <w:r w:rsidRPr="004A5052">
        <w:rPr>
          <w:rFonts w:ascii="Verdana" w:hAnsi="Verdana"/>
          <w:i w:val="0"/>
          <w:color w:val="auto"/>
          <w:sz w:val="20"/>
          <w:szCs w:val="20"/>
        </w:rPr>
        <w:br/>
        <w:t xml:space="preserve">Nierówności poprzeczne podbudowy należy mierzyć 4-metrową łatą. 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Nierówności podbudowy nie mogą przekraczać 10 mm </w:t>
      </w:r>
    </w:p>
    <w:p w:rsidR="00040172" w:rsidRPr="004A5052" w:rsidRDefault="00040172" w:rsidP="00040172">
      <w:pPr>
        <w:ind w:right="-11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6.10. Spadki poprzeczne podbudowy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Spadki poprzeczne podbudowy być zgodne z wymaganiami  z tolerancją </w:t>
      </w:r>
      <w:r w:rsidRPr="004A5052">
        <w:rPr>
          <w:rFonts w:ascii="Verdana" w:hAnsi="Verdana"/>
          <w:i w:val="0"/>
          <w:color w:val="auto"/>
          <w:sz w:val="20"/>
          <w:szCs w:val="20"/>
        </w:rPr>
        <w:sym w:font="Symbol" w:char="00B1"/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0,5 %.</w:t>
      </w:r>
    </w:p>
    <w:p w:rsidR="00040172" w:rsidRPr="004A5052" w:rsidRDefault="00040172" w:rsidP="00040172">
      <w:pPr>
        <w:pStyle w:val="Akapitzlist"/>
        <w:numPr>
          <w:ilvl w:val="1"/>
          <w:numId w:val="5"/>
        </w:numPr>
        <w:ind w:right="-11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Grubość podbudowy</w:t>
      </w:r>
    </w:p>
    <w:p w:rsidR="00040172" w:rsidRPr="004A5052" w:rsidRDefault="00040172" w:rsidP="00040172">
      <w:pPr>
        <w:numPr>
          <w:ilvl w:val="12"/>
          <w:numId w:val="0"/>
        </w:numPr>
        <w:ind w:right="-11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Grubość podbudowy powinna być zgodna z wymaganiami z tolerancją </w:t>
      </w:r>
      <w:r w:rsidRPr="004A5052">
        <w:rPr>
          <w:rFonts w:ascii="Verdana" w:hAnsi="Verdana"/>
          <w:i w:val="0"/>
          <w:color w:val="auto"/>
          <w:sz w:val="20"/>
          <w:szCs w:val="20"/>
        </w:rPr>
        <w:sym w:font="Symbol" w:char="00B1"/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4A5052">
          <w:rPr>
            <w:rFonts w:ascii="Verdana" w:hAnsi="Verdana"/>
            <w:i w:val="0"/>
            <w:color w:val="auto"/>
            <w:sz w:val="20"/>
            <w:szCs w:val="20"/>
          </w:rPr>
          <w:t>1 cm</w:t>
        </w:r>
      </w:smartTag>
      <w:r w:rsidRPr="004A5052">
        <w:rPr>
          <w:rFonts w:ascii="Verdana" w:hAnsi="Verdana"/>
          <w:i w:val="0"/>
          <w:color w:val="auto"/>
          <w:sz w:val="20"/>
          <w:szCs w:val="20"/>
        </w:rPr>
        <w:t>,</w:t>
      </w:r>
    </w:p>
    <w:p w:rsidR="00040172" w:rsidRPr="004A5052" w:rsidRDefault="00040172" w:rsidP="00040172">
      <w:pPr>
        <w:ind w:right="-11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color w:val="auto"/>
          <w:sz w:val="20"/>
          <w:szCs w:val="20"/>
        </w:rPr>
        <w:t>7.Jednostka obmiarowa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Jednostką obmiarową jest  m</w:t>
      </w:r>
      <w:r w:rsidRPr="004A5052">
        <w:rPr>
          <w:rFonts w:ascii="Verdana" w:hAnsi="Verdana"/>
          <w:i w:val="0"/>
          <w:color w:val="auto"/>
          <w:sz w:val="20"/>
          <w:szCs w:val="20"/>
          <w:vertAlign w:val="superscript"/>
        </w:rPr>
        <w:t>2</w:t>
      </w: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(metr kwadratowy) wykonanej podbudowy.</w:t>
      </w:r>
    </w:p>
    <w:p w:rsidR="00040172" w:rsidRPr="004A5052" w:rsidRDefault="00040172" w:rsidP="00040172">
      <w:pPr>
        <w:pStyle w:val="StylNagwek1Arial10ptPrzed0ptPo0ptInterlini"/>
        <w:numPr>
          <w:ilvl w:val="0"/>
          <w:numId w:val="6"/>
        </w:numPr>
        <w:tabs>
          <w:tab w:val="left" w:pos="142"/>
        </w:tabs>
        <w:ind w:left="284" w:hanging="284"/>
        <w:rPr>
          <w:rFonts w:ascii="Verdana" w:hAnsi="Verdana"/>
          <w:caps w:val="0"/>
        </w:rPr>
      </w:pPr>
      <w:r w:rsidRPr="004A5052">
        <w:rPr>
          <w:rFonts w:ascii="Verdana" w:hAnsi="Verdana"/>
          <w:caps w:val="0"/>
        </w:rPr>
        <w:t>Odbiór robót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Roboty uznaje się za wykonane zgodnie z, </w:t>
      </w:r>
      <w:proofErr w:type="spellStart"/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STWiORB</w:t>
      </w:r>
      <w:proofErr w:type="spellEnd"/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 jeżeli wszystkie pomiary i badania z zachowaniem tolerancji wg niniejszej </w:t>
      </w:r>
      <w:proofErr w:type="spellStart"/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>STWiORB</w:t>
      </w:r>
      <w:proofErr w:type="spellEnd"/>
      <w:r w:rsidRPr="004A5052">
        <w:rPr>
          <w:rFonts w:ascii="Verdana" w:hAnsi="Verdana"/>
          <w:i w:val="0"/>
          <w:iCs w:val="0"/>
          <w:color w:val="auto"/>
          <w:sz w:val="20"/>
          <w:szCs w:val="20"/>
        </w:rPr>
        <w:t xml:space="preserve"> dały wyniki pozytywne.</w:t>
      </w:r>
    </w:p>
    <w:p w:rsidR="00040172" w:rsidRPr="004A5052" w:rsidRDefault="00040172" w:rsidP="00040172">
      <w:pPr>
        <w:pStyle w:val="StylNagwek2Arial10ptPogrubieniePrzed0ptPo0"/>
        <w:numPr>
          <w:ilvl w:val="0"/>
          <w:numId w:val="6"/>
        </w:numPr>
        <w:tabs>
          <w:tab w:val="clear" w:pos="8790"/>
        </w:tabs>
        <w:ind w:left="284" w:hanging="284"/>
        <w:rPr>
          <w:rFonts w:ascii="Verdana" w:hAnsi="Verdana"/>
        </w:rPr>
      </w:pPr>
      <w:r w:rsidRPr="004A5052">
        <w:rPr>
          <w:rFonts w:ascii="Verdana" w:hAnsi="Verdana"/>
        </w:rPr>
        <w:t>Cena jednostki obmiarowej</w:t>
      </w:r>
    </w:p>
    <w:p w:rsidR="00040172" w:rsidRPr="004A5052" w:rsidRDefault="00040172" w:rsidP="00040172">
      <w:pPr>
        <w:ind w:right="-11"/>
        <w:rPr>
          <w:rFonts w:ascii="Verdana" w:hAnsi="Verdana"/>
          <w:i w:val="0"/>
          <w:iCs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4A5052">
          <w:rPr>
            <w:rFonts w:ascii="Verdana" w:hAnsi="Verdana"/>
            <w:i w:val="0"/>
            <w:color w:val="auto"/>
            <w:sz w:val="20"/>
            <w:szCs w:val="20"/>
          </w:rPr>
          <w:t>1 m</w:t>
        </w:r>
        <w:r w:rsidRPr="004A5052">
          <w:rPr>
            <w:rFonts w:ascii="Verdana" w:hAnsi="Verdana"/>
            <w:i w:val="0"/>
            <w:color w:val="auto"/>
            <w:sz w:val="20"/>
            <w:szCs w:val="20"/>
            <w:vertAlign w:val="superscript"/>
          </w:rPr>
          <w:t>2</w:t>
        </w:r>
      </w:smartTag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podbudowy z chudego betonu obejmuje: prace pomiarowe i roboty przygotowawcze, oznakowanie robót, dostarczenie materiałów, wyprodukowanie mieszanki, transport na miejsce wbudowania, przygotowanie podłoża, dostarczenie i użycie  materiałów i urządzeń pomocniczych, rozłożenie i zagęszczenie mieszanki, pielęgnacja wykonanej podbudowy,</w:t>
      </w:r>
    </w:p>
    <w:p w:rsidR="00040172" w:rsidRPr="004A5052" w:rsidRDefault="00040172" w:rsidP="00040172">
      <w:pPr>
        <w:overflowPunct w:val="0"/>
        <w:autoSpaceDE w:val="0"/>
        <w:autoSpaceDN w:val="0"/>
        <w:adjustRightInd w:val="0"/>
        <w:ind w:right="-11"/>
        <w:jc w:val="both"/>
        <w:textAlignment w:val="baseline"/>
        <w:rPr>
          <w:rFonts w:ascii="Verdana" w:hAnsi="Verdana"/>
          <w:b/>
          <w:i w:val="0"/>
          <w:color w:val="auto"/>
          <w:sz w:val="20"/>
          <w:szCs w:val="20"/>
        </w:rPr>
      </w:pPr>
      <w:r w:rsidRPr="004A5052">
        <w:rPr>
          <w:rFonts w:ascii="Verdana" w:hAnsi="Verdana"/>
          <w:b/>
          <w:i w:val="0"/>
          <w:iCs w:val="0"/>
          <w:color w:val="auto"/>
          <w:sz w:val="20"/>
          <w:szCs w:val="20"/>
        </w:rPr>
        <w:t xml:space="preserve">10. </w:t>
      </w:r>
      <w:r w:rsidRPr="004A5052">
        <w:rPr>
          <w:rFonts w:ascii="Verdana" w:hAnsi="Verdana"/>
          <w:b/>
          <w:i w:val="0"/>
          <w:color w:val="auto"/>
          <w:sz w:val="20"/>
          <w:szCs w:val="20"/>
        </w:rPr>
        <w:t>PRZEPISY ZWIĄZANE</w:t>
      </w:r>
    </w:p>
    <w:p w:rsidR="00040172" w:rsidRPr="004A5052" w:rsidRDefault="00040172" w:rsidP="00040172">
      <w:pPr>
        <w:pStyle w:val="StylNagwek2Arial10ptPogrubieniePrzed0ptPo0"/>
        <w:numPr>
          <w:ilvl w:val="0"/>
          <w:numId w:val="0"/>
        </w:numPr>
        <w:tabs>
          <w:tab w:val="left" w:pos="708"/>
        </w:tabs>
        <w:rPr>
          <w:rFonts w:ascii="Verdana" w:hAnsi="Verdana"/>
          <w:b w:val="0"/>
        </w:rPr>
      </w:pPr>
      <w:r w:rsidRPr="004A5052">
        <w:rPr>
          <w:rFonts w:ascii="Verdana" w:hAnsi="Verdana"/>
          <w:b w:val="0"/>
        </w:rPr>
        <w:t>1. PN-EN 1008 Woda zarobowa do betonu. Specyfikacja. pobierania próbek</w:t>
      </w:r>
      <w:r w:rsidRPr="004A5052">
        <w:rPr>
          <w:rFonts w:ascii="Verdana" w:hAnsi="Verdana"/>
          <w:b w:val="0"/>
          <w:iCs/>
        </w:rPr>
        <w:t>.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2. PN-EN 196-1Metody badania cementu. Oznaczanie wytrzymałości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3. PN-EN 196-2Metody badania cementu. Analiza chemiczna cementu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4. PN-EN 196-3Metody badania cementu. Oznaczanie czasu wiązania i stałości objętości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5. PN-EN 196-6 Metody badania cementu. Oznaczanie stopnia zmielenia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6. PN-EN 197-1Cement. Część 1: Skład, wymagania i kryteria zgodności dotyczące cementu powszechnego użytku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7. PN-EN 206-1 Beton. Część 1: Wymagania, właściwości, produkcja i zgodność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8. PN-EN 206-1Beton. Część 1: Wymagania, właściwości, produkcja i zgodność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9. PN-B-11111Kruszywa mineralne. Kruszywa naturalne do nawierzchni drogowych; żwir i mieszanka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10. PN-B-11112Kruszywa mineralne. Kruszywa łamane do nawierzchni drogowych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11. PN-B-11113Kruszywa mineralne. Kruszywa naturalne do nawierzchni drogowych; piasek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>12. PN-S-96013  Drogi samochodowe. Podbudowa z chudego betonu. Wymagania i badania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13. BN-68/8931-04 Drogi samochodowe. Pomiar równości nawierzchni </w:t>
      </w:r>
      <w:proofErr w:type="spellStart"/>
      <w:r w:rsidRPr="004A5052">
        <w:rPr>
          <w:rFonts w:ascii="Verdana" w:hAnsi="Verdana"/>
          <w:i w:val="0"/>
          <w:color w:val="auto"/>
          <w:sz w:val="20"/>
          <w:szCs w:val="20"/>
        </w:rPr>
        <w:t>planografem</w:t>
      </w:r>
      <w:proofErr w:type="spellEnd"/>
      <w:r w:rsidRPr="004A5052">
        <w:rPr>
          <w:rFonts w:ascii="Verdana" w:hAnsi="Verdana"/>
          <w:i w:val="0"/>
          <w:color w:val="auto"/>
          <w:sz w:val="20"/>
          <w:szCs w:val="20"/>
        </w:rPr>
        <w:t xml:space="preserve"> i łatą.</w:t>
      </w: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040172" w:rsidRPr="004A5052" w:rsidRDefault="00040172" w:rsidP="00040172">
      <w:pPr>
        <w:jc w:val="both"/>
        <w:rPr>
          <w:rFonts w:ascii="Verdana" w:hAnsi="Verdana"/>
          <w:i w:val="0"/>
          <w:color w:val="auto"/>
          <w:sz w:val="20"/>
          <w:szCs w:val="20"/>
        </w:rPr>
      </w:pPr>
    </w:p>
    <w:p w:rsidR="0084430A" w:rsidRPr="004A5052" w:rsidRDefault="00AF658B">
      <w:pPr>
        <w:rPr>
          <w:rFonts w:ascii="Verdana" w:hAnsi="Verdana"/>
          <w:sz w:val="20"/>
          <w:szCs w:val="20"/>
        </w:rPr>
      </w:pPr>
    </w:p>
    <w:sectPr w:rsidR="0084430A" w:rsidRPr="004A5052" w:rsidSect="00681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AD9824B4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426" w:hanging="284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790"/>
        </w:tabs>
        <w:ind w:left="8790" w:hanging="567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567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2"/>
        </w:tabs>
        <w:ind w:left="2127" w:hanging="567"/>
      </w:p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5" w:hanging="708"/>
      </w:p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3543" w:hanging="708"/>
      </w:p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425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495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5667" w:hanging="708"/>
      </w:pPr>
    </w:lvl>
  </w:abstractNum>
  <w:abstractNum w:abstractNumId="1">
    <w:nsid w:val="FFFFFFFE"/>
    <w:multiLevelType w:val="singleLevel"/>
    <w:tmpl w:val="9FBA552E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18EF49B9"/>
    <w:multiLevelType w:val="hybridMultilevel"/>
    <w:tmpl w:val="E9C85C7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A60C8"/>
    <w:multiLevelType w:val="multilevel"/>
    <w:tmpl w:val="3668A9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F334D85"/>
    <w:multiLevelType w:val="multilevel"/>
    <w:tmpl w:val="3CCE19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6C87401C"/>
    <w:multiLevelType w:val="multilevel"/>
    <w:tmpl w:val="75DAA2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0172"/>
    <w:rsid w:val="00040172"/>
    <w:rsid w:val="00141105"/>
    <w:rsid w:val="00164628"/>
    <w:rsid w:val="004A5052"/>
    <w:rsid w:val="006817A4"/>
    <w:rsid w:val="00733439"/>
    <w:rsid w:val="00AF658B"/>
    <w:rsid w:val="00CD3173"/>
    <w:rsid w:val="00C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8A5E105-A38E-4B0C-84CB-634D5379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0172"/>
    <w:pPr>
      <w:spacing w:after="0" w:line="240" w:lineRule="auto"/>
    </w:pPr>
    <w:rPr>
      <w:rFonts w:ascii="Arial" w:eastAsia="Times New Roman" w:hAnsi="Arial" w:cs="Times New Roman"/>
      <w:i/>
      <w:iCs/>
      <w:color w:val="0000FF"/>
      <w:sz w:val="18"/>
      <w:szCs w:val="1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40172"/>
    <w:pPr>
      <w:keepNext/>
      <w:numPr>
        <w:numId w:val="1"/>
      </w:numPr>
      <w:spacing w:before="120" w:after="120" w:line="360" w:lineRule="exact"/>
      <w:jc w:val="both"/>
      <w:outlineLvl w:val="0"/>
    </w:pPr>
    <w:rPr>
      <w:rFonts w:ascii="Times New Roman" w:hAnsi="Times New Roman"/>
      <w:b/>
      <w:i w:val="0"/>
      <w:iCs w:val="0"/>
      <w:caps/>
      <w:color w:val="auto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40172"/>
    <w:pPr>
      <w:keepNext/>
      <w:numPr>
        <w:ilvl w:val="1"/>
        <w:numId w:val="1"/>
      </w:numPr>
      <w:tabs>
        <w:tab w:val="num" w:pos="851"/>
      </w:tabs>
      <w:spacing w:before="120" w:after="120" w:line="360" w:lineRule="exact"/>
      <w:ind w:left="851"/>
      <w:jc w:val="both"/>
      <w:outlineLvl w:val="1"/>
    </w:pPr>
    <w:rPr>
      <w:rFonts w:ascii="Times New Roman" w:hAnsi="Times New Roman"/>
      <w:i w:val="0"/>
      <w:iCs w:val="0"/>
      <w:color w:val="auto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0172"/>
    <w:rPr>
      <w:rFonts w:ascii="Times New Roman" w:eastAsia="Times New Roman" w:hAnsi="Times New Roman" w:cs="Times New Roman"/>
      <w:b/>
      <w:caps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4017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pecyfikacja">
    <w:name w:val="Specyfikacja"/>
    <w:basedOn w:val="Normalny"/>
    <w:rsid w:val="00040172"/>
    <w:pPr>
      <w:spacing w:before="60" w:after="240"/>
      <w:ind w:left="1418" w:hanging="1418"/>
      <w:jc w:val="both"/>
    </w:pPr>
    <w:rPr>
      <w:i w:val="0"/>
      <w:iCs w:val="0"/>
      <w:smallCaps/>
      <w:color w:val="auto"/>
      <w:sz w:val="28"/>
      <w:szCs w:val="20"/>
    </w:rPr>
  </w:style>
  <w:style w:type="paragraph" w:customStyle="1" w:styleId="StylNagwek1Arial10ptPrzed0ptPo0ptInterlini">
    <w:name w:val="Styl Nagłówek 1 + Arial 10 pt Przed:  0 pt Po:  0 pt Interlini..."/>
    <w:basedOn w:val="Nagwek1"/>
    <w:rsid w:val="00040172"/>
    <w:pPr>
      <w:spacing w:before="0" w:after="0" w:line="240" w:lineRule="auto"/>
    </w:pPr>
    <w:rPr>
      <w:rFonts w:ascii="Arial" w:hAnsi="Arial"/>
      <w:bCs/>
      <w:sz w:val="20"/>
    </w:rPr>
  </w:style>
  <w:style w:type="paragraph" w:customStyle="1" w:styleId="StylNagwek2Arial10ptPogrubieniePrzed0ptPo0">
    <w:name w:val="Styl Nagłówek 2 + Arial 10 pt Pogrubienie Przed:  0 pt Po:  0 ..."/>
    <w:basedOn w:val="Nagwek2"/>
    <w:rsid w:val="00040172"/>
    <w:pPr>
      <w:spacing w:before="0" w:after="0" w:line="240" w:lineRule="auto"/>
    </w:pPr>
    <w:rPr>
      <w:rFonts w:ascii="Arial" w:hAnsi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040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1197</Words>
  <Characters>7187</Characters>
  <Application>Microsoft Office Word</Application>
  <DocSecurity>0</DocSecurity>
  <Lines>59</Lines>
  <Paragraphs>16</Paragraphs>
  <ScaleCrop>false</ScaleCrop>
  <Company/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9</cp:revision>
  <dcterms:created xsi:type="dcterms:W3CDTF">2015-06-25T08:32:00Z</dcterms:created>
  <dcterms:modified xsi:type="dcterms:W3CDTF">2023-12-18T14:31:00Z</dcterms:modified>
</cp:coreProperties>
</file>